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91" w:rsidRDefault="00DD6C91" w:rsidP="00DD6C91">
      <w:pPr>
        <w:spacing w:before="100" w:beforeAutospacing="1" w:after="100" w:afterAutospacing="1"/>
        <w:rPr>
          <w:rFonts w:asciiTheme="minorEastAsia" w:hAnsiTheme="minorEastAsia" w:cs="新細明體"/>
          <w:b/>
          <w:bCs/>
          <w:sz w:val="36"/>
          <w:szCs w:val="36"/>
        </w:rPr>
      </w:pPr>
      <w:r w:rsidRPr="00DF7A70">
        <w:rPr>
          <w:rFonts w:asciiTheme="minorEastAsia" w:hAnsiTheme="minorEastAsia" w:cs="新細明體"/>
          <w:b/>
          <w:bCs/>
          <w:noProof/>
          <w:sz w:val="36"/>
          <w:szCs w:val="36"/>
        </w:rPr>
        <w:drawing>
          <wp:inline distT="0" distB="0" distL="0" distR="0">
            <wp:extent cx="982980" cy="655320"/>
            <wp:effectExtent l="19050" t="0" r="7620" b="0"/>
            <wp:docPr id="4" name="圖片 2" descr="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1"/>
                    <pic:cNvPicPr>
                      <a:picLocks noChangeAspect="1" noChangeArrowheads="1"/>
                    </pic:cNvPicPr>
                  </pic:nvPicPr>
                  <pic:blipFill>
                    <a:blip r:embed="rId8" cstate="print"/>
                    <a:srcRect/>
                    <a:stretch>
                      <a:fillRect/>
                    </a:stretch>
                  </pic:blipFill>
                  <pic:spPr bwMode="auto">
                    <a:xfrm>
                      <a:off x="0" y="0"/>
                      <a:ext cx="982980" cy="655320"/>
                    </a:xfrm>
                    <a:prstGeom prst="rect">
                      <a:avLst/>
                    </a:prstGeom>
                    <a:noFill/>
                    <a:ln w="9525">
                      <a:noFill/>
                      <a:miter lim="800000"/>
                      <a:headEnd/>
                      <a:tailEnd/>
                    </a:ln>
                  </pic:spPr>
                </pic:pic>
              </a:graphicData>
            </a:graphic>
          </wp:inline>
        </w:drawing>
      </w:r>
      <w:r w:rsidRPr="00DF7A70">
        <w:rPr>
          <w:rFonts w:asciiTheme="minorEastAsia" w:hAnsiTheme="minorEastAsia" w:cs="新細明體"/>
          <w:b/>
          <w:bCs/>
          <w:noProof/>
          <w:sz w:val="36"/>
          <w:szCs w:val="36"/>
        </w:rPr>
        <w:drawing>
          <wp:inline distT="0" distB="0" distL="0" distR="0">
            <wp:extent cx="1426845" cy="859155"/>
            <wp:effectExtent l="19050" t="0" r="1905" b="0"/>
            <wp:docPr id="6" name="圖片 2" descr="C:\坤展公司網頁\認證項目\醫療安全 8\中文\歐盟 醫療器械 安全認證\i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坤展公司網頁\認證項目\醫療安全 8\中文\歐盟 醫療器械 安全認證\ivd.jpg"/>
                    <pic:cNvPicPr>
                      <a:picLocks noChangeAspect="1" noChangeArrowheads="1"/>
                    </pic:cNvPicPr>
                  </pic:nvPicPr>
                  <pic:blipFill>
                    <a:blip r:embed="rId9" cstate="print"/>
                    <a:srcRect/>
                    <a:stretch>
                      <a:fillRect/>
                    </a:stretch>
                  </pic:blipFill>
                  <pic:spPr bwMode="auto">
                    <a:xfrm>
                      <a:off x="0" y="0"/>
                      <a:ext cx="1426845" cy="859155"/>
                    </a:xfrm>
                    <a:prstGeom prst="rect">
                      <a:avLst/>
                    </a:prstGeom>
                    <a:noFill/>
                    <a:ln w="9525">
                      <a:noFill/>
                      <a:miter lim="800000"/>
                      <a:headEnd/>
                      <a:tailEnd/>
                    </a:ln>
                  </pic:spPr>
                </pic:pic>
              </a:graphicData>
            </a:graphic>
          </wp:inline>
        </w:drawing>
      </w:r>
    </w:p>
    <w:p w:rsidR="00DD6C91" w:rsidRDefault="00DD6C91" w:rsidP="00DD6C91">
      <w:pPr>
        <w:spacing w:before="100" w:beforeAutospacing="1" w:after="100" w:afterAutospacing="1"/>
        <w:rPr>
          <w:rFonts w:asciiTheme="minorEastAsia" w:hAnsiTheme="minorEastAsia" w:cs="新細明體"/>
          <w:b/>
          <w:bCs/>
          <w:sz w:val="36"/>
          <w:szCs w:val="36"/>
        </w:rPr>
      </w:pPr>
      <w:r w:rsidRPr="00754FC3">
        <w:rPr>
          <w:rFonts w:asciiTheme="minorEastAsia" w:hAnsiTheme="minorEastAsia" w:cs="新細明體"/>
          <w:b/>
          <w:bCs/>
          <w:sz w:val="36"/>
          <w:szCs w:val="36"/>
        </w:rPr>
        <w:t>IVDD 98/79/EC</w:t>
      </w:r>
    </w:p>
    <w:p w:rsidR="00DD6C91" w:rsidRPr="005B5EDE" w:rsidRDefault="00DD6C91" w:rsidP="00DD6C91">
      <w:pPr>
        <w:pStyle w:val="a8"/>
        <w:rPr>
          <w:color w:val="0070C0"/>
          <w:sz w:val="36"/>
          <w:szCs w:val="36"/>
        </w:rPr>
      </w:pPr>
      <w:r w:rsidRPr="005B5EDE">
        <w:rPr>
          <w:color w:val="0070C0"/>
          <w:sz w:val="36"/>
          <w:szCs w:val="36"/>
        </w:rPr>
        <w:t>Directive of the European Parliament and of the Council on in Vitro Diagnostic Medical Devices</w:t>
      </w:r>
    </w:p>
    <w:p w:rsidR="00DD6C91" w:rsidRPr="00DF7A70" w:rsidRDefault="00DD6C91" w:rsidP="00DD6C91">
      <w:pPr>
        <w:spacing w:before="100" w:beforeAutospacing="1" w:after="100" w:afterAutospacing="1"/>
        <w:rPr>
          <w:rFonts w:asciiTheme="minorEastAsia" w:hAnsiTheme="minorEastAsia" w:cs="新細明體"/>
          <w:sz w:val="36"/>
          <w:szCs w:val="36"/>
        </w:rPr>
      </w:pPr>
    </w:p>
    <w:p w:rsidR="00DD6C91" w:rsidRPr="00E13865" w:rsidRDefault="00DD6C91" w:rsidP="00DD6C91">
      <w:pPr>
        <w:spacing w:before="100" w:beforeAutospacing="1" w:after="100" w:afterAutospacing="1"/>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For all IVDs, except Class 1 IVDs and Class 1, 2 and 3 in-house IVDs, the sponsor must submit Manufacturer's Evidence</w:t>
      </w:r>
      <w:r w:rsidRPr="00E13865">
        <w:rPr>
          <w:rFonts w:ascii="Verdana" w:eastAsia="新細明體" w:hAnsi="Verdana" w:cs="新細明體"/>
          <w:color w:val="000000"/>
          <w:sz w:val="19"/>
        </w:rPr>
        <w:t> </w:t>
      </w:r>
      <w:r w:rsidRPr="00E13865">
        <w:rPr>
          <w:rFonts w:ascii="Verdana" w:eastAsia="新細明體" w:hAnsi="Verdana" w:cs="新細明體"/>
          <w:b/>
          <w:bCs/>
          <w:color w:val="000000"/>
          <w:sz w:val="19"/>
        </w:rPr>
        <w:t>before</w:t>
      </w:r>
      <w:r w:rsidRPr="00E13865">
        <w:rPr>
          <w:rFonts w:ascii="Verdana" w:eastAsia="新細明體" w:hAnsi="Verdana" w:cs="新細明體"/>
          <w:color w:val="000000"/>
          <w:sz w:val="19"/>
        </w:rPr>
        <w:t> </w:t>
      </w:r>
      <w:r w:rsidRPr="00E13865">
        <w:rPr>
          <w:rFonts w:ascii="Verdana" w:eastAsia="新細明體" w:hAnsi="Verdana" w:cs="新細明體"/>
          <w:color w:val="000000"/>
          <w:sz w:val="19"/>
          <w:szCs w:val="19"/>
        </w:rPr>
        <w:t>applyin</w:t>
      </w:r>
      <w:r>
        <w:rPr>
          <w:rFonts w:ascii="Verdana" w:eastAsia="新細明體" w:hAnsi="Verdana" w:cs="新細明體"/>
          <w:color w:val="000000"/>
          <w:sz w:val="19"/>
          <w:szCs w:val="19"/>
        </w:rPr>
        <w:t xml:space="preserve">g to include the IVD in the </w:t>
      </w:r>
      <w:r>
        <w:rPr>
          <w:rFonts w:ascii="Verdana" w:eastAsia="新細明體" w:hAnsi="Verdana" w:cs="新細明體" w:hint="eastAsia"/>
          <w:color w:val="000000"/>
          <w:sz w:val="19"/>
          <w:szCs w:val="19"/>
        </w:rPr>
        <w:t>EU AREA</w:t>
      </w:r>
      <w:r w:rsidRPr="00E13865">
        <w:rPr>
          <w:rFonts w:ascii="Verdana" w:eastAsia="新細明體" w:hAnsi="Verdana" w:cs="新細明體"/>
          <w:color w:val="000000"/>
          <w:sz w:val="19"/>
          <w:szCs w:val="19"/>
        </w:rPr>
        <w:t>.</w:t>
      </w:r>
    </w:p>
    <w:p w:rsidR="00DD6C91" w:rsidRPr="00E13865" w:rsidRDefault="00DD6C91" w:rsidP="00DD6C91">
      <w:pPr>
        <w:spacing w:before="100" w:beforeAutospacing="1" w:after="100" w:afterAutospacing="1"/>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the following certificates as Manufacturer's Evidence:</w:t>
      </w:r>
    </w:p>
    <w:p w:rsidR="00DD6C91" w:rsidRPr="00E13865" w:rsidRDefault="00DD6C91" w:rsidP="00DD6C91">
      <w:pPr>
        <w:numPr>
          <w:ilvl w:val="0"/>
          <w:numId w:val="5"/>
        </w:numPr>
        <w:spacing w:before="100" w:beforeAutospacing="1" w:after="100" w:afterAutospacing="1" w:line="240" w:lineRule="auto"/>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a Conformity Assessment Certificate for Schedule 3 Part 1 (Full quality assurance) or Schedule 3 Part 4 (Production quality assurance) of the Therapeutic Goods (Medical Devices) Regulations 2002- this is mandatory for some manufacturers and IVDs in some classes</w:t>
      </w:r>
    </w:p>
    <w:p w:rsidR="00DD6C91" w:rsidRPr="00E13865" w:rsidRDefault="00DD6C91" w:rsidP="00DD6C91">
      <w:pPr>
        <w:numPr>
          <w:ilvl w:val="0"/>
          <w:numId w:val="5"/>
        </w:numPr>
        <w:spacing w:before="100" w:beforeAutospacing="1" w:after="100" w:afterAutospacing="1" w:line="240" w:lineRule="auto"/>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an EC certificate issued by an EU Notified Body for Annex IV.3 (Full quality assurance) or Annex VII (Production quality assurance) of the EU IVDD 98/79/EC</w:t>
      </w:r>
    </w:p>
    <w:p w:rsidR="00DD6C91" w:rsidRPr="00E13865" w:rsidRDefault="00DD6C91" w:rsidP="00DD6C91">
      <w:pPr>
        <w:numPr>
          <w:ilvl w:val="0"/>
          <w:numId w:val="5"/>
        </w:numPr>
        <w:spacing w:before="100" w:beforeAutospacing="1" w:after="100" w:afterAutospacing="1" w:line="240" w:lineRule="auto"/>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an ISO 13485</w:t>
      </w:r>
      <w:r w:rsidRPr="00E13865">
        <w:rPr>
          <w:rFonts w:ascii="Verdana" w:eastAsia="新細明體" w:hAnsi="Verdana" w:cs="新細明體"/>
          <w:color w:val="000000"/>
          <w:sz w:val="19"/>
        </w:rPr>
        <w:t> </w:t>
      </w:r>
      <w:r w:rsidRPr="00E13865">
        <w:rPr>
          <w:rFonts w:ascii="Verdana" w:eastAsia="新細明體" w:hAnsi="Verdana" w:cs="新細明體"/>
          <w:i/>
          <w:iCs/>
          <w:color w:val="000000"/>
          <w:sz w:val="19"/>
        </w:rPr>
        <w:t>Medical devices -- Quality management systems -- Requirements for regulatory purposes</w:t>
      </w:r>
      <w:r w:rsidRPr="00E13865">
        <w:rPr>
          <w:rFonts w:ascii="Verdana" w:eastAsia="新細明體" w:hAnsi="Verdana" w:cs="新細明體"/>
          <w:color w:val="000000"/>
          <w:sz w:val="19"/>
        </w:rPr>
        <w:t> </w:t>
      </w:r>
      <w:r w:rsidRPr="00E13865">
        <w:rPr>
          <w:rFonts w:ascii="Verdana" w:eastAsia="新細明體" w:hAnsi="Verdana" w:cs="新細明體"/>
          <w:color w:val="000000"/>
          <w:sz w:val="19"/>
          <w:szCs w:val="19"/>
        </w:rPr>
        <w:t>compliance certificate issued by a:</w:t>
      </w:r>
    </w:p>
    <w:p w:rsidR="00DD6C91" w:rsidRPr="00E13865" w:rsidRDefault="00DD6C91" w:rsidP="00DD6C91">
      <w:pPr>
        <w:numPr>
          <w:ilvl w:val="1"/>
          <w:numId w:val="5"/>
        </w:numPr>
        <w:spacing w:before="100" w:beforeAutospacing="1" w:after="100" w:afterAutospacing="1" w:line="240" w:lineRule="auto"/>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a certification body that is also a Notified Body for the purposes of the IVDD 98/79/EC</w:t>
      </w:r>
    </w:p>
    <w:p w:rsidR="00DD6C91" w:rsidRPr="00E13865" w:rsidRDefault="00DD6C91" w:rsidP="00DD6C91">
      <w:pPr>
        <w:numPr>
          <w:ilvl w:val="1"/>
          <w:numId w:val="5"/>
        </w:numPr>
        <w:spacing w:before="100" w:beforeAutospacing="1" w:after="100" w:afterAutospacing="1" w:line="240" w:lineRule="auto"/>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CMDCAS (Canadian Medical Devices Conformity Assessment System) recognised Registrar</w:t>
      </w:r>
    </w:p>
    <w:p w:rsidR="00DD6C91" w:rsidRPr="00E13865" w:rsidRDefault="00DD6C91" w:rsidP="00DD6C91">
      <w:pPr>
        <w:numPr>
          <w:ilvl w:val="1"/>
          <w:numId w:val="5"/>
        </w:numPr>
        <w:spacing w:before="100" w:beforeAutospacing="1" w:after="100" w:afterAutospacing="1" w:line="240" w:lineRule="auto"/>
        <w:rPr>
          <w:rFonts w:ascii="Verdana" w:eastAsia="新細明體" w:hAnsi="Verdana" w:cs="新細明體"/>
          <w:color w:val="000000"/>
          <w:sz w:val="19"/>
          <w:szCs w:val="19"/>
        </w:rPr>
      </w:pPr>
      <w:r w:rsidRPr="00E13865">
        <w:rPr>
          <w:rFonts w:ascii="Verdana" w:eastAsia="新細明體" w:hAnsi="Verdana" w:cs="新細明體"/>
          <w:color w:val="000000"/>
          <w:sz w:val="19"/>
          <w:szCs w:val="19"/>
        </w:rPr>
        <w:t>a certification body that is accredited by a signatory of the International Accreditation Forum (IAF) Multilateral Recognition Arrangement (MLA) to perform ISO 13485 certification.</w:t>
      </w:r>
    </w:p>
    <w:p w:rsidR="00DD6C91" w:rsidRPr="00E13865" w:rsidRDefault="00DD6C91" w:rsidP="00DD6C91">
      <w:pPr>
        <w:spacing w:before="100" w:beforeAutospacing="1" w:after="100" w:afterAutospacing="1"/>
        <w:rPr>
          <w:rFonts w:ascii="Verdana" w:eastAsia="新細明體" w:hAnsi="Verdana" w:cs="新細明體"/>
          <w:color w:val="000000"/>
          <w:sz w:val="19"/>
          <w:szCs w:val="19"/>
        </w:rPr>
      </w:pPr>
    </w:p>
    <w:p w:rsidR="00DD6C91" w:rsidRDefault="00DD6C91" w:rsidP="00DD6C91">
      <w:pPr>
        <w:spacing w:before="100" w:beforeAutospacing="1" w:after="100" w:afterAutospacing="1"/>
        <w:rPr>
          <w:rFonts w:ascii="Verdana" w:eastAsia="新細明體" w:hAnsi="Verdana" w:cs="新細明體"/>
          <w:color w:val="000000"/>
          <w:sz w:val="19"/>
          <w:szCs w:val="19"/>
        </w:rPr>
      </w:pPr>
      <w:r w:rsidRPr="00D55A01">
        <w:rPr>
          <w:rFonts w:ascii="Verdana" w:eastAsia="新細明體" w:hAnsi="Verdana" w:cs="新細明體"/>
          <w:noProof/>
          <w:color w:val="000000"/>
          <w:sz w:val="19"/>
          <w:szCs w:val="19"/>
        </w:rPr>
        <w:lastRenderedPageBreak/>
        <w:drawing>
          <wp:inline distT="0" distB="0" distL="0" distR="0">
            <wp:extent cx="3810000" cy="2857500"/>
            <wp:effectExtent l="19050" t="0" r="0" b="0"/>
            <wp:docPr id="9" name="圖片 1" descr="C:\Users\user\Documents\JANE WORKS\kj dm data2\MDD\cexut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JANE WORKS\kj dm data2\MDD\cexutang2.jpg"/>
                    <pic:cNvPicPr>
                      <a:picLocks noChangeAspect="1" noChangeArrowheads="1"/>
                    </pic:cNvPicPr>
                  </pic:nvPicPr>
                  <pic:blipFill>
                    <a:blip r:embed="rId1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DD6C91" w:rsidRPr="00754FC3" w:rsidRDefault="00DD6C91" w:rsidP="00DD6C91">
      <w:pPr>
        <w:spacing w:before="100" w:beforeAutospacing="1" w:after="100" w:afterAutospacing="1"/>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The following table provides the parallel references for the EU conformity assessment procedures:</w:t>
      </w:r>
    </w:p>
    <w:tbl>
      <w:tblPr>
        <w:tblW w:w="0" w:type="auto"/>
        <w:tblInd w:w="120" w:type="dxa"/>
        <w:tblCellMar>
          <w:top w:w="15" w:type="dxa"/>
          <w:left w:w="15" w:type="dxa"/>
          <w:bottom w:w="15" w:type="dxa"/>
          <w:right w:w="15" w:type="dxa"/>
        </w:tblCellMar>
        <w:tblLook w:val="04A0"/>
      </w:tblPr>
      <w:tblGrid>
        <w:gridCol w:w="8174"/>
        <w:gridCol w:w="1698"/>
      </w:tblGrid>
      <w:tr w:rsidR="00DD6C91" w:rsidRPr="00754FC3" w:rsidTr="009A6970">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158ABF"/>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b/>
                <w:bCs/>
                <w:color w:val="FFFFFF"/>
                <w:sz w:val="19"/>
                <w:szCs w:val="19"/>
              </w:rPr>
            </w:pPr>
            <w:r w:rsidRPr="00754FC3">
              <w:rPr>
                <w:rFonts w:ascii="Verdana" w:eastAsia="新細明體" w:hAnsi="Verdana" w:cs="新細明體"/>
                <w:b/>
                <w:bCs/>
                <w:color w:val="FFFFFF"/>
                <w:sz w:val="19"/>
                <w:szCs w:val="19"/>
              </w:rPr>
              <w:br/>
              <w:t>Therapeutic Goods (Medical Devices) Regulations 2002</w:t>
            </w:r>
          </w:p>
        </w:tc>
        <w:tc>
          <w:tcPr>
            <w:tcW w:w="0" w:type="auto"/>
            <w:tcBorders>
              <w:top w:val="single" w:sz="4" w:space="0" w:color="000000"/>
              <w:left w:val="single" w:sz="4" w:space="0" w:color="000000"/>
              <w:bottom w:val="single" w:sz="4" w:space="0" w:color="000000"/>
              <w:right w:val="single" w:sz="4" w:space="0" w:color="000000"/>
            </w:tcBorders>
            <w:shd w:val="clear" w:color="auto" w:fill="158ABF"/>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b/>
                <w:bCs/>
                <w:color w:val="FFFFFF"/>
                <w:sz w:val="19"/>
                <w:szCs w:val="19"/>
              </w:rPr>
            </w:pPr>
            <w:r w:rsidRPr="00754FC3">
              <w:rPr>
                <w:rFonts w:ascii="Verdana" w:eastAsia="新細明體" w:hAnsi="Verdana" w:cs="新細明體"/>
                <w:b/>
                <w:bCs/>
                <w:color w:val="FFFFFF"/>
                <w:sz w:val="19"/>
                <w:szCs w:val="19"/>
              </w:rPr>
              <w:t>EU reference</w:t>
            </w:r>
            <w:r w:rsidRPr="00754FC3">
              <w:rPr>
                <w:rFonts w:ascii="Verdana" w:eastAsia="新細明體" w:hAnsi="Verdana" w:cs="新細明體"/>
                <w:b/>
                <w:bCs/>
                <w:color w:val="FFFFFF"/>
                <w:sz w:val="19"/>
                <w:szCs w:val="19"/>
              </w:rPr>
              <w:br/>
              <w:t>IVDD 98/79/EC</w:t>
            </w:r>
          </w:p>
        </w:tc>
      </w:tr>
      <w:tr w:rsidR="00DD6C91" w:rsidRPr="00754FC3" w:rsidTr="009A697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Schedule 3 Part 1 - Full quality assurance procedures</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Annex IV</w:t>
            </w:r>
          </w:p>
        </w:tc>
      </w:tr>
      <w:tr w:rsidR="00DD6C91" w:rsidRPr="00754FC3" w:rsidTr="009A697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Schedule 3 Part 1, Clause 1.6 - Examination of design of Class 4 IVD medical device and Class 4 In-house IVD medical device</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Annex IV.4</w:t>
            </w:r>
          </w:p>
        </w:tc>
      </w:tr>
      <w:tr w:rsidR="00DD6C91" w:rsidRPr="00754FC3" w:rsidTr="009A697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Schedule 3 Part 2 - Type examination procedures</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Annex V</w:t>
            </w:r>
          </w:p>
        </w:tc>
      </w:tr>
      <w:tr w:rsidR="00DD6C91" w:rsidRPr="00754FC3" w:rsidTr="009A697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Schedule 3 Part 4 - Production quality assurance procedures</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Annex VII</w:t>
            </w:r>
          </w:p>
        </w:tc>
      </w:tr>
      <w:tr w:rsidR="00DD6C91" w:rsidRPr="00754FC3" w:rsidTr="009A697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Schedule 3 Part 6 - Declaration of conformity procedures</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754FC3" w:rsidRDefault="00DD6C91" w:rsidP="009A6970">
            <w:pPr>
              <w:spacing w:before="120" w:after="120"/>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Annex III</w:t>
            </w:r>
          </w:p>
        </w:tc>
      </w:tr>
    </w:tbl>
    <w:p w:rsidR="00DD6C91" w:rsidRDefault="00DD6C91" w:rsidP="00DD6C91">
      <w:pPr>
        <w:spacing w:before="100" w:beforeAutospacing="1" w:after="100" w:afterAutospacing="1"/>
        <w:rPr>
          <w:rFonts w:ascii="Verdana" w:eastAsia="新細明體" w:hAnsi="Verdana" w:cs="新細明體"/>
          <w:color w:val="000000"/>
          <w:sz w:val="19"/>
          <w:szCs w:val="19"/>
        </w:rPr>
      </w:pPr>
      <w:r w:rsidRPr="00754FC3">
        <w:rPr>
          <w:rFonts w:ascii="Verdana" w:eastAsia="新細明體" w:hAnsi="Verdana" w:cs="新細明體"/>
          <w:color w:val="000000"/>
          <w:sz w:val="19"/>
          <w:szCs w:val="19"/>
        </w:rPr>
        <w:t>For some Class 2 and 3 IVDs covered by EC Certificates a mandatory application audit (technical file review) will be conducted once the s</w:t>
      </w:r>
      <w:r>
        <w:rPr>
          <w:rFonts w:ascii="Verdana" w:eastAsia="新細明體" w:hAnsi="Verdana" w:cs="新細明體"/>
          <w:color w:val="000000"/>
          <w:sz w:val="19"/>
          <w:szCs w:val="19"/>
        </w:rPr>
        <w:t xml:space="preserve">ponsor lodges an application </w:t>
      </w:r>
      <w:r w:rsidRPr="00754FC3">
        <w:rPr>
          <w:rFonts w:ascii="Verdana" w:eastAsia="新細明體" w:hAnsi="Verdana" w:cs="新細明體"/>
          <w:color w:val="000000"/>
          <w:sz w:val="19"/>
          <w:szCs w:val="19"/>
        </w:rPr>
        <w:t xml:space="preserve">. </w:t>
      </w:r>
    </w:p>
    <w:p w:rsidR="00DD6C91" w:rsidRPr="00754FC3" w:rsidRDefault="00DD6C91" w:rsidP="00DD6C91">
      <w:pPr>
        <w:spacing w:before="100" w:beforeAutospacing="1" w:after="100" w:afterAutospacing="1"/>
        <w:rPr>
          <w:rFonts w:ascii="Verdana" w:eastAsia="新細明體" w:hAnsi="Verdana" w:cs="新細明體"/>
          <w:color w:val="000000"/>
          <w:sz w:val="19"/>
          <w:szCs w:val="19"/>
        </w:rPr>
      </w:pPr>
      <w:r w:rsidRPr="00754FC3">
        <w:rPr>
          <w:rFonts w:ascii="Verdana" w:eastAsia="新細明體" w:hAnsi="Verdana" w:cs="新細明體"/>
          <w:color w:val="000000"/>
          <w:sz w:val="19"/>
          <w:szCs w:val="19"/>
        </w:rPr>
        <w:lastRenderedPageBreak/>
        <w:t>The application audit is to confirm that the manufacturer of an IVD has carried out conformity assessment procedures appropriate to the classification of the device.</w:t>
      </w:r>
    </w:p>
    <w:p w:rsidR="00DD6C91" w:rsidRDefault="00DD6C91" w:rsidP="00DD6C91"/>
    <w:p w:rsidR="00DD6C91" w:rsidRDefault="00DD6C91" w:rsidP="00DD6C91">
      <w:r>
        <w:rPr>
          <w:noProof/>
        </w:rPr>
        <w:drawing>
          <wp:inline distT="0" distB="0" distL="0" distR="0">
            <wp:extent cx="5274310" cy="4475629"/>
            <wp:effectExtent l="19050" t="0" r="2540" b="0"/>
            <wp:docPr id="10" name="圖片 1" descr="C:\坤展公司網頁\認證項目\醫療安全 8\英文\IVD-Mod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坤展公司網頁\認證項目\醫療安全 8\英文\IVD-Module.gif"/>
                    <pic:cNvPicPr>
                      <a:picLocks noChangeAspect="1" noChangeArrowheads="1"/>
                    </pic:cNvPicPr>
                  </pic:nvPicPr>
                  <pic:blipFill>
                    <a:blip r:embed="rId11" cstate="print"/>
                    <a:srcRect/>
                    <a:stretch>
                      <a:fillRect/>
                    </a:stretch>
                  </pic:blipFill>
                  <pic:spPr bwMode="auto">
                    <a:xfrm>
                      <a:off x="0" y="0"/>
                      <a:ext cx="5274310" cy="4475629"/>
                    </a:xfrm>
                    <a:prstGeom prst="rect">
                      <a:avLst/>
                    </a:prstGeom>
                    <a:noFill/>
                    <a:ln w="9525">
                      <a:noFill/>
                      <a:miter lim="800000"/>
                      <a:headEnd/>
                      <a:tailEnd/>
                    </a:ln>
                  </pic:spPr>
                </pic:pic>
              </a:graphicData>
            </a:graphic>
          </wp:inline>
        </w:drawing>
      </w:r>
    </w:p>
    <w:p w:rsidR="00DD6C91" w:rsidRDefault="00DD6C91" w:rsidP="00DD6C91"/>
    <w:p w:rsidR="00DD6C91" w:rsidRDefault="00DD6C91" w:rsidP="00DD6C91"/>
    <w:p w:rsidR="00DD6C91" w:rsidRDefault="00DD6C91" w:rsidP="00DD6C91"/>
    <w:p w:rsidR="00DD6C91" w:rsidRDefault="00DD6C91" w:rsidP="00DD6C91"/>
    <w:p w:rsidR="00DD6C91" w:rsidRDefault="00DD6C91" w:rsidP="00DD6C91"/>
    <w:p w:rsidR="00DD6C91" w:rsidRDefault="00DD6C91" w:rsidP="00DD6C91"/>
    <w:p w:rsidR="00DD6C91" w:rsidRDefault="00DD6C91" w:rsidP="00DD6C91">
      <w:r>
        <w:br w:type="page"/>
      </w:r>
    </w:p>
    <w:p w:rsidR="00DD6C91" w:rsidRDefault="00DD6C91" w:rsidP="00DD6C91"/>
    <w:p w:rsidR="00DD6C91" w:rsidRPr="00BB52FC" w:rsidRDefault="00DD6C91" w:rsidP="00DD6C91">
      <w:pPr>
        <w:spacing w:before="100" w:beforeAutospacing="1" w:after="100" w:afterAutospacing="1"/>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For each class of IVD there are restrictions on type of certificates that may be used to demonstrate that a manufacturer has the appropriate manufacturing processes to make the IVD (Manufacturer's Evidence). These are shown on the following table.</w:t>
      </w:r>
    </w:p>
    <w:tbl>
      <w:tblPr>
        <w:tblW w:w="5000" w:type="pct"/>
        <w:tblCellMar>
          <w:top w:w="15" w:type="dxa"/>
          <w:left w:w="15" w:type="dxa"/>
          <w:bottom w:w="15" w:type="dxa"/>
          <w:right w:w="15" w:type="dxa"/>
        </w:tblCellMar>
        <w:tblLook w:val="04A0"/>
      </w:tblPr>
      <w:tblGrid>
        <w:gridCol w:w="5064"/>
        <w:gridCol w:w="2910"/>
        <w:gridCol w:w="2018"/>
      </w:tblGrid>
      <w:tr w:rsidR="00DD6C91" w:rsidRPr="00BB52FC" w:rsidTr="009A6970">
        <w:trPr>
          <w:tblHeader/>
        </w:trPr>
        <w:tc>
          <w:tcPr>
            <w:tcW w:w="2534" w:type="pct"/>
            <w:tcBorders>
              <w:top w:val="single" w:sz="4" w:space="0" w:color="000000"/>
              <w:left w:val="single" w:sz="4" w:space="0" w:color="000000"/>
              <w:bottom w:val="single" w:sz="4" w:space="0" w:color="000000"/>
              <w:right w:val="single" w:sz="4" w:space="0" w:color="000000"/>
            </w:tcBorders>
            <w:shd w:val="clear" w:color="auto" w:fill="158ABF"/>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b/>
                <w:bCs/>
                <w:color w:val="FFFFFF"/>
                <w:sz w:val="19"/>
                <w:szCs w:val="19"/>
              </w:rPr>
            </w:pPr>
            <w:r w:rsidRPr="00BB52FC">
              <w:rPr>
                <w:rFonts w:ascii="Verdana" w:eastAsia="新細明體" w:hAnsi="Verdana" w:cs="新細明體"/>
                <w:b/>
                <w:bCs/>
                <w:color w:val="FFFFFF"/>
                <w:sz w:val="19"/>
                <w:szCs w:val="19"/>
              </w:rPr>
              <w:t>Certificate issued under</w:t>
            </w:r>
          </w:p>
        </w:tc>
        <w:tc>
          <w:tcPr>
            <w:tcW w:w="1456" w:type="pct"/>
            <w:tcBorders>
              <w:top w:val="single" w:sz="4" w:space="0" w:color="000000"/>
              <w:left w:val="single" w:sz="4" w:space="0" w:color="000000"/>
              <w:bottom w:val="single" w:sz="4" w:space="0" w:color="000000"/>
              <w:right w:val="single" w:sz="4" w:space="0" w:color="000000"/>
            </w:tcBorders>
            <w:shd w:val="clear" w:color="auto" w:fill="158ABF"/>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b/>
                <w:bCs/>
                <w:color w:val="FFFFFF"/>
                <w:sz w:val="19"/>
                <w:szCs w:val="19"/>
              </w:rPr>
            </w:pPr>
            <w:r w:rsidRPr="00BB52FC">
              <w:rPr>
                <w:rFonts w:ascii="Verdana" w:eastAsia="新細明體" w:hAnsi="Verdana" w:cs="新細明體"/>
                <w:b/>
                <w:bCs/>
                <w:color w:val="FFFFFF"/>
                <w:sz w:val="19"/>
                <w:szCs w:val="19"/>
              </w:rPr>
              <w:t>Certificate type</w:t>
            </w:r>
          </w:p>
        </w:tc>
        <w:tc>
          <w:tcPr>
            <w:tcW w:w="1010" w:type="pct"/>
            <w:tcBorders>
              <w:top w:val="single" w:sz="4" w:space="0" w:color="000000"/>
              <w:left w:val="single" w:sz="4" w:space="0" w:color="000000"/>
              <w:bottom w:val="single" w:sz="4" w:space="0" w:color="000000"/>
              <w:right w:val="single" w:sz="4" w:space="0" w:color="000000"/>
            </w:tcBorders>
            <w:shd w:val="clear" w:color="auto" w:fill="158ABF"/>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b/>
                <w:bCs/>
                <w:color w:val="FFFFFF"/>
                <w:sz w:val="19"/>
                <w:szCs w:val="19"/>
              </w:rPr>
            </w:pPr>
            <w:r w:rsidRPr="00BB52FC">
              <w:rPr>
                <w:rFonts w:ascii="Verdana" w:eastAsia="新細明體" w:hAnsi="Verdana" w:cs="新細明體"/>
                <w:b/>
                <w:bCs/>
                <w:color w:val="FFFFFF"/>
                <w:sz w:val="19"/>
                <w:szCs w:val="19"/>
              </w:rPr>
              <w:t>Allowable Class of IVD</w:t>
            </w:r>
          </w:p>
        </w:tc>
      </w:tr>
      <w:tr w:rsidR="00DD6C91" w:rsidRPr="00BB52FC" w:rsidTr="009A6970">
        <w:tc>
          <w:tcPr>
            <w:tcW w:w="2534" w:type="pct"/>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 xml:space="preserve">Therapeutic Goods (Medical Devices) Regulations </w:t>
            </w:r>
          </w:p>
        </w:tc>
        <w:tc>
          <w:tcPr>
            <w:tcW w:w="145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Schedule 3 Part 1</w:t>
            </w:r>
            <w:r w:rsidRPr="00BB52FC">
              <w:rPr>
                <w:rFonts w:ascii="Verdana" w:eastAsia="新細明體" w:hAnsi="Verdana" w:cs="新細明體"/>
                <w:color w:val="000000"/>
                <w:sz w:val="19"/>
                <w:szCs w:val="19"/>
              </w:rPr>
              <w:br/>
              <w:t>(Full Quality Assurance)</w:t>
            </w:r>
          </w:p>
        </w:tc>
        <w:tc>
          <w:tcPr>
            <w:tcW w:w="101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Class 4 IVD</w:t>
            </w:r>
            <w:r w:rsidRPr="00BB52FC">
              <w:rPr>
                <w:rFonts w:ascii="Verdana" w:eastAsia="新細明體" w:hAnsi="Verdana" w:cs="新細明體"/>
                <w:color w:val="000000"/>
                <w:sz w:val="19"/>
                <w:szCs w:val="19"/>
              </w:rPr>
              <w:br/>
              <w:t>Class 4 in-house IVD</w:t>
            </w:r>
            <w:r w:rsidRPr="00BB52FC">
              <w:rPr>
                <w:rFonts w:ascii="Verdana" w:eastAsia="新細明體" w:hAnsi="Verdana" w:cs="新細明體"/>
                <w:color w:val="000000"/>
                <w:sz w:val="19"/>
                <w:szCs w:val="19"/>
              </w:rPr>
              <w:br/>
              <w:t>Class 3 IVD</w:t>
            </w:r>
            <w:r w:rsidRPr="00BB52FC">
              <w:rPr>
                <w:rFonts w:ascii="Verdana" w:eastAsia="新細明體" w:hAnsi="Verdana" w:cs="新細明體"/>
                <w:color w:val="000000"/>
                <w:sz w:val="19"/>
                <w:szCs w:val="19"/>
              </w:rPr>
              <w:br/>
              <w:t>Class 2 IVD</w:t>
            </w:r>
          </w:p>
        </w:tc>
      </w:tr>
      <w:tr w:rsidR="00DD6C91" w:rsidRPr="00BB52FC" w:rsidTr="009A6970">
        <w:tc>
          <w:tcPr>
            <w:tcW w:w="2534" w:type="pct"/>
            <w:vMerge/>
            <w:tcBorders>
              <w:top w:val="single" w:sz="4" w:space="0" w:color="000000"/>
              <w:left w:val="single" w:sz="4" w:space="0" w:color="000000"/>
              <w:bottom w:val="single" w:sz="4" w:space="0" w:color="000000"/>
              <w:right w:val="single" w:sz="4" w:space="0" w:color="000000"/>
            </w:tcBorders>
            <w:vAlign w:val="center"/>
            <w:hideMark/>
          </w:tcPr>
          <w:p w:rsidR="00DD6C91" w:rsidRPr="00BB52FC" w:rsidRDefault="00DD6C91" w:rsidP="009A6970">
            <w:pPr>
              <w:rPr>
                <w:rFonts w:ascii="Verdana" w:eastAsia="新細明體" w:hAnsi="Verdana" w:cs="新細明體"/>
                <w:color w:val="000000"/>
                <w:sz w:val="19"/>
                <w:szCs w:val="19"/>
              </w:rPr>
            </w:pPr>
          </w:p>
        </w:tc>
        <w:tc>
          <w:tcPr>
            <w:tcW w:w="145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Schedule 3 Part 4</w:t>
            </w:r>
            <w:r w:rsidRPr="00BB52FC">
              <w:rPr>
                <w:rFonts w:ascii="Verdana" w:eastAsia="新細明體" w:hAnsi="Verdana" w:cs="新細明體"/>
                <w:color w:val="000000"/>
                <w:sz w:val="19"/>
                <w:szCs w:val="19"/>
              </w:rPr>
              <w:br/>
              <w:t>(Production Quality Assurance)</w:t>
            </w:r>
          </w:p>
        </w:tc>
        <w:tc>
          <w:tcPr>
            <w:tcW w:w="101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Class 4 IVD</w:t>
            </w:r>
            <w:r w:rsidRPr="00BB52FC">
              <w:rPr>
                <w:rFonts w:ascii="Verdana" w:eastAsia="新細明體" w:hAnsi="Verdana" w:cs="新細明體"/>
                <w:color w:val="000000"/>
                <w:sz w:val="19"/>
                <w:szCs w:val="19"/>
              </w:rPr>
              <w:br/>
              <w:t>Class 4 in-house IVD</w:t>
            </w:r>
            <w:r w:rsidRPr="00BB52FC">
              <w:rPr>
                <w:rFonts w:ascii="Verdana" w:eastAsia="新細明體" w:hAnsi="Verdana" w:cs="新細明體"/>
                <w:color w:val="000000"/>
                <w:sz w:val="19"/>
                <w:szCs w:val="19"/>
              </w:rPr>
              <w:br/>
              <w:t>Class 3 IVD</w:t>
            </w:r>
            <w:r w:rsidRPr="00BB52FC">
              <w:rPr>
                <w:rFonts w:ascii="Verdana" w:eastAsia="新細明體" w:hAnsi="Verdana" w:cs="新細明體"/>
                <w:color w:val="000000"/>
                <w:sz w:val="19"/>
                <w:szCs w:val="19"/>
              </w:rPr>
              <w:br/>
              <w:t>Class 2 IVD</w:t>
            </w:r>
          </w:p>
        </w:tc>
      </w:tr>
      <w:tr w:rsidR="00DD6C91" w:rsidRPr="00BB52FC" w:rsidTr="009A6970">
        <w:tc>
          <w:tcPr>
            <w:tcW w:w="2534" w:type="pct"/>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Directive 98/79/EC (IVDD)</w:t>
            </w:r>
            <w:r w:rsidRPr="00BB52FC">
              <w:rPr>
                <w:rFonts w:ascii="Verdana" w:eastAsia="新細明體" w:hAnsi="Verdana" w:cs="新細明體"/>
                <w:color w:val="000000"/>
                <w:sz w:val="19"/>
                <w:szCs w:val="19"/>
              </w:rPr>
              <w:br/>
              <w:t>(EU Notified Body)</w:t>
            </w:r>
          </w:p>
        </w:tc>
        <w:tc>
          <w:tcPr>
            <w:tcW w:w="145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Annex IV.3</w:t>
            </w:r>
            <w:r w:rsidRPr="00BB52FC">
              <w:rPr>
                <w:rFonts w:ascii="Verdana" w:eastAsia="新細明體" w:hAnsi="Verdana" w:cs="新細明體"/>
                <w:color w:val="000000"/>
                <w:sz w:val="19"/>
                <w:szCs w:val="19"/>
              </w:rPr>
              <w:br/>
              <w:t>(Full Quality Assurance)</w:t>
            </w:r>
          </w:p>
        </w:tc>
        <w:tc>
          <w:tcPr>
            <w:tcW w:w="101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Class 3 IVD</w:t>
            </w:r>
            <w:r w:rsidRPr="00BB52FC">
              <w:rPr>
                <w:rFonts w:ascii="Verdana" w:eastAsia="新細明體" w:hAnsi="Verdana" w:cs="新細明體"/>
                <w:color w:val="000000"/>
                <w:sz w:val="19"/>
                <w:szCs w:val="19"/>
              </w:rPr>
              <w:br/>
              <w:t>Class 2 IVD</w:t>
            </w:r>
          </w:p>
        </w:tc>
      </w:tr>
      <w:tr w:rsidR="00DD6C91" w:rsidRPr="00BB52FC" w:rsidTr="009A6970">
        <w:tc>
          <w:tcPr>
            <w:tcW w:w="2534" w:type="pct"/>
            <w:vMerge/>
            <w:tcBorders>
              <w:top w:val="single" w:sz="4" w:space="0" w:color="000000"/>
              <w:left w:val="single" w:sz="4" w:space="0" w:color="000000"/>
              <w:bottom w:val="single" w:sz="4" w:space="0" w:color="000000"/>
              <w:right w:val="single" w:sz="4" w:space="0" w:color="000000"/>
            </w:tcBorders>
            <w:vAlign w:val="center"/>
            <w:hideMark/>
          </w:tcPr>
          <w:p w:rsidR="00DD6C91" w:rsidRPr="00BB52FC" w:rsidRDefault="00DD6C91" w:rsidP="009A6970">
            <w:pPr>
              <w:rPr>
                <w:rFonts w:ascii="Verdana" w:eastAsia="新細明體" w:hAnsi="Verdana" w:cs="新細明體"/>
                <w:color w:val="000000"/>
                <w:sz w:val="19"/>
                <w:szCs w:val="19"/>
              </w:rPr>
            </w:pPr>
          </w:p>
        </w:tc>
        <w:tc>
          <w:tcPr>
            <w:tcW w:w="145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Annex VII</w:t>
            </w:r>
            <w:r w:rsidRPr="00BB52FC">
              <w:rPr>
                <w:rFonts w:ascii="Verdana" w:eastAsia="新細明體" w:hAnsi="Verdana" w:cs="新細明體"/>
                <w:color w:val="000000"/>
                <w:sz w:val="19"/>
                <w:szCs w:val="19"/>
              </w:rPr>
              <w:br/>
              <w:t>(Production Quality Assurance)</w:t>
            </w:r>
          </w:p>
        </w:tc>
        <w:tc>
          <w:tcPr>
            <w:tcW w:w="101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Class 3 IVD</w:t>
            </w:r>
            <w:r w:rsidRPr="00BB52FC">
              <w:rPr>
                <w:rFonts w:ascii="Verdana" w:eastAsia="新細明體" w:hAnsi="Verdana" w:cs="新細明體"/>
                <w:color w:val="000000"/>
                <w:sz w:val="19"/>
                <w:szCs w:val="19"/>
              </w:rPr>
              <w:br/>
              <w:t>Class 2 IVD</w:t>
            </w:r>
          </w:p>
        </w:tc>
      </w:tr>
      <w:tr w:rsidR="00DD6C91" w:rsidRPr="00BB52FC" w:rsidTr="009A6970">
        <w:tc>
          <w:tcPr>
            <w:tcW w:w="2534" w:type="pct"/>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ISO 13485</w:t>
            </w:r>
            <w:r w:rsidRPr="00BB52FC">
              <w:rPr>
                <w:rFonts w:ascii="Verdana" w:eastAsia="新細明體" w:hAnsi="Verdana" w:cs="新細明體"/>
                <w:color w:val="000000"/>
                <w:sz w:val="19"/>
                <w:szCs w:val="19"/>
              </w:rPr>
              <w:br/>
              <w:t>(CMDCAS recognised Registrar)</w:t>
            </w:r>
          </w:p>
        </w:tc>
        <w:tc>
          <w:tcPr>
            <w:tcW w:w="145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ISO 13485 Manufacturing and Design</w:t>
            </w:r>
          </w:p>
        </w:tc>
        <w:tc>
          <w:tcPr>
            <w:tcW w:w="101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Class 3 IVD</w:t>
            </w:r>
            <w:r w:rsidRPr="00BB52FC">
              <w:rPr>
                <w:rFonts w:ascii="Verdana" w:eastAsia="新細明體" w:hAnsi="Verdana" w:cs="新細明體"/>
                <w:color w:val="000000"/>
                <w:sz w:val="19"/>
                <w:szCs w:val="19"/>
              </w:rPr>
              <w:br/>
              <w:t>Class 2 IVD</w:t>
            </w:r>
          </w:p>
        </w:tc>
      </w:tr>
      <w:tr w:rsidR="00DD6C91" w:rsidRPr="00BB52FC" w:rsidTr="009A6970">
        <w:tc>
          <w:tcPr>
            <w:tcW w:w="2534" w:type="pct"/>
            <w:vMerge/>
            <w:tcBorders>
              <w:top w:val="single" w:sz="4" w:space="0" w:color="000000"/>
              <w:left w:val="single" w:sz="4" w:space="0" w:color="000000"/>
              <w:bottom w:val="single" w:sz="4" w:space="0" w:color="000000"/>
              <w:right w:val="single" w:sz="4" w:space="0" w:color="000000"/>
            </w:tcBorders>
            <w:vAlign w:val="center"/>
            <w:hideMark/>
          </w:tcPr>
          <w:p w:rsidR="00DD6C91" w:rsidRPr="00BB52FC" w:rsidRDefault="00DD6C91" w:rsidP="009A6970">
            <w:pPr>
              <w:rPr>
                <w:rFonts w:ascii="Verdana" w:eastAsia="新細明體" w:hAnsi="Verdana" w:cs="新細明體"/>
                <w:color w:val="000000"/>
                <w:sz w:val="19"/>
                <w:szCs w:val="19"/>
              </w:rPr>
            </w:pPr>
          </w:p>
        </w:tc>
        <w:tc>
          <w:tcPr>
            <w:tcW w:w="145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 xml:space="preserve">ISO 13485 Manufacturing </w:t>
            </w:r>
            <w:r w:rsidRPr="00BB52FC">
              <w:rPr>
                <w:rFonts w:ascii="Verdana" w:eastAsia="新細明體" w:hAnsi="Verdana" w:cs="新細明體"/>
                <w:color w:val="000000"/>
                <w:sz w:val="19"/>
                <w:szCs w:val="19"/>
              </w:rPr>
              <w:lastRenderedPageBreak/>
              <w:t>excluding Design</w:t>
            </w:r>
          </w:p>
        </w:tc>
        <w:tc>
          <w:tcPr>
            <w:tcW w:w="101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lastRenderedPageBreak/>
              <w:t>Class 2 IVD</w:t>
            </w:r>
          </w:p>
        </w:tc>
      </w:tr>
      <w:tr w:rsidR="00DD6C91" w:rsidRPr="00BB52FC" w:rsidTr="009A6970">
        <w:tc>
          <w:tcPr>
            <w:tcW w:w="2534"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lastRenderedPageBreak/>
              <w:t>ISO 13485</w:t>
            </w:r>
            <w:r w:rsidRPr="00BB52FC">
              <w:rPr>
                <w:rFonts w:ascii="Verdana" w:eastAsia="新細明體" w:hAnsi="Verdana" w:cs="新細明體"/>
                <w:color w:val="000000"/>
                <w:sz w:val="19"/>
                <w:szCs w:val="19"/>
              </w:rPr>
              <w:br/>
              <w:t>(certification body accredited by signatory of IAF MLA or a certification body that is also an EU Notified Body)</w:t>
            </w:r>
          </w:p>
        </w:tc>
        <w:tc>
          <w:tcPr>
            <w:tcW w:w="145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ISO 13485</w:t>
            </w:r>
          </w:p>
        </w:tc>
        <w:tc>
          <w:tcPr>
            <w:tcW w:w="101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DD6C91" w:rsidRPr="00BB52FC" w:rsidRDefault="00DD6C91" w:rsidP="009A6970">
            <w:pPr>
              <w:spacing w:before="120" w:after="120"/>
              <w:rPr>
                <w:rFonts w:ascii="Verdana" w:eastAsia="新細明體" w:hAnsi="Verdana" w:cs="新細明體"/>
                <w:color w:val="000000"/>
                <w:sz w:val="19"/>
                <w:szCs w:val="19"/>
              </w:rPr>
            </w:pPr>
            <w:r w:rsidRPr="00BB52FC">
              <w:rPr>
                <w:rFonts w:ascii="Verdana" w:eastAsia="新細明體" w:hAnsi="Verdana" w:cs="新細明體"/>
                <w:color w:val="000000"/>
                <w:sz w:val="19"/>
                <w:szCs w:val="19"/>
              </w:rPr>
              <w:t>Class 3 IVD</w:t>
            </w:r>
            <w:r w:rsidRPr="00BB52FC">
              <w:rPr>
                <w:rFonts w:ascii="Verdana" w:eastAsia="新細明體" w:hAnsi="Verdana" w:cs="新細明體"/>
                <w:color w:val="000000"/>
                <w:sz w:val="19"/>
                <w:szCs w:val="19"/>
              </w:rPr>
              <w:br/>
              <w:t>Class 2 IVD</w:t>
            </w:r>
          </w:p>
        </w:tc>
      </w:tr>
    </w:tbl>
    <w:p w:rsidR="00DD6C91" w:rsidRDefault="00DD6C91" w:rsidP="00DD6C91"/>
    <w:p w:rsidR="00DD6C91" w:rsidRDefault="00DD6C91" w:rsidP="00DD6C91"/>
    <w:p w:rsidR="00DD6C91" w:rsidRDefault="00DD6C91" w:rsidP="00DD6C91"/>
    <w:p w:rsidR="00DD6C91" w:rsidRPr="0011192D" w:rsidRDefault="00DD6C91" w:rsidP="00DD6C91">
      <w:pPr>
        <w:pBdr>
          <w:bottom w:val="dotted" w:sz="4" w:space="0" w:color="00264C"/>
        </w:pBdr>
        <w:spacing w:before="100" w:beforeAutospacing="1" w:after="100" w:afterAutospacing="1"/>
        <w:outlineLvl w:val="1"/>
        <w:rPr>
          <w:rFonts w:ascii="Verdana" w:eastAsia="新細明體" w:hAnsi="Verdana" w:cs="新細明體"/>
          <w:b/>
          <w:bCs/>
          <w:color w:val="00264C"/>
          <w:sz w:val="25"/>
          <w:szCs w:val="25"/>
        </w:rPr>
      </w:pPr>
      <w:r w:rsidRPr="0011192D">
        <w:rPr>
          <w:rFonts w:ascii="Verdana" w:eastAsia="新細明體" w:hAnsi="Verdana" w:cs="新細明體"/>
          <w:b/>
          <w:bCs/>
          <w:color w:val="00264C"/>
          <w:sz w:val="25"/>
          <w:szCs w:val="25"/>
        </w:rPr>
        <w:t>What is a Technical File?</w:t>
      </w:r>
    </w:p>
    <w:p w:rsidR="00DD6C91" w:rsidRPr="0011192D" w:rsidRDefault="00DD6C91" w:rsidP="00DD6C91">
      <w:pPr>
        <w:spacing w:before="100" w:beforeAutospacing="1" w:after="100" w:afterAutospacing="1"/>
        <w:rPr>
          <w:rFonts w:ascii="Verdana" w:eastAsia="新細明體" w:hAnsi="Verdana" w:cs="新細明體"/>
          <w:color w:val="000000"/>
          <w:sz w:val="19"/>
          <w:szCs w:val="19"/>
        </w:rPr>
      </w:pPr>
      <w:r w:rsidRPr="0011192D">
        <w:rPr>
          <w:rFonts w:ascii="Verdana" w:eastAsia="新細明體" w:hAnsi="Verdana" w:cs="新細明體"/>
          <w:color w:val="000000"/>
          <w:sz w:val="19"/>
          <w:szCs w:val="19"/>
        </w:rPr>
        <w:t>A technical file represents all the information that is held by a manufacturer in relation to a particular IVD. The documentation is normally an output of the manufacturer's quality management system, and includes information generated throughout the design, development, production and monitoring phases of the IVD. Information may be held across a number of locations or in different forms, and various components from the technical file can be used to demonstrate conformity to the Essential Principles of safety and performance.</w:t>
      </w:r>
    </w:p>
    <w:p w:rsidR="00DD6C91" w:rsidRPr="0011192D" w:rsidRDefault="00DD6C91" w:rsidP="00DD6C91">
      <w:pPr>
        <w:rPr>
          <w:rFonts w:ascii="Verdana" w:hAnsi="Verdana"/>
          <w:color w:val="000000"/>
          <w:sz w:val="19"/>
          <w:szCs w:val="19"/>
          <w:shd w:val="clear" w:color="auto" w:fill="FFFFFF"/>
        </w:rPr>
      </w:pPr>
    </w:p>
    <w:p w:rsidR="00DD6C91" w:rsidRDefault="00DD6C91" w:rsidP="00DD6C91">
      <w:pPr>
        <w:rPr>
          <w:rStyle w:val="apple-converted-space"/>
          <w:rFonts w:ascii="Verdana" w:hAnsi="Verdana"/>
          <w:color w:val="000000"/>
          <w:sz w:val="19"/>
          <w:szCs w:val="19"/>
          <w:shd w:val="clear" w:color="auto" w:fill="FFFFFF"/>
        </w:rPr>
      </w:pPr>
      <w:r>
        <w:rPr>
          <w:rFonts w:ascii="Verdana" w:hAnsi="Verdana"/>
          <w:color w:val="000000"/>
          <w:sz w:val="19"/>
          <w:szCs w:val="19"/>
          <w:shd w:val="clear" w:color="auto" w:fill="FFFFFF"/>
        </w:rPr>
        <w:t>The depth and detail of the information contained in the STED is primarily dependent on the risk classification of the IVD, however consideration should also be given to the complexity of the IVD and whether it incorporates the detection or measurement of a new analy</w:t>
      </w:r>
      <w:r>
        <w:rPr>
          <w:rFonts w:ascii="Verdana" w:hAnsi="Verdana" w:hint="eastAsia"/>
          <w:color w:val="000000"/>
          <w:sz w:val="19"/>
          <w:szCs w:val="19"/>
          <w:shd w:val="clear" w:color="auto" w:fill="FFFFFF"/>
        </w:rPr>
        <w:t>z</w:t>
      </w:r>
      <w:r>
        <w:rPr>
          <w:rFonts w:ascii="Verdana" w:hAnsi="Verdana"/>
          <w:color w:val="000000"/>
          <w:sz w:val="19"/>
          <w:szCs w:val="19"/>
          <w:shd w:val="clear" w:color="auto" w:fill="FFFFFF"/>
        </w:rPr>
        <w:t>e, any new technology or a new clinical application.</w:t>
      </w:r>
      <w:r>
        <w:rPr>
          <w:rStyle w:val="apple-converted-space"/>
          <w:rFonts w:ascii="Verdana" w:hAnsi="Verdana"/>
          <w:color w:val="000000"/>
          <w:sz w:val="19"/>
          <w:szCs w:val="19"/>
          <w:shd w:val="clear" w:color="auto" w:fill="FFFFFF"/>
        </w:rPr>
        <w:t> </w:t>
      </w:r>
    </w:p>
    <w:p w:rsidR="00DD6C91" w:rsidRDefault="00DD6C91" w:rsidP="00DD6C91">
      <w:pPr>
        <w:rPr>
          <w:rStyle w:val="apple-converted-space"/>
          <w:rFonts w:ascii="Verdana" w:hAnsi="Verdana"/>
          <w:color w:val="000000"/>
          <w:sz w:val="19"/>
          <w:szCs w:val="19"/>
          <w:shd w:val="clear" w:color="auto" w:fill="FFFFFF"/>
        </w:rPr>
      </w:pPr>
    </w:p>
    <w:p w:rsidR="00DD6C91" w:rsidRDefault="00DD6C91" w:rsidP="00DD6C91"/>
    <w:p w:rsidR="00DD6C91" w:rsidRPr="00DF7A70" w:rsidRDefault="00DD6C91" w:rsidP="00DD6C91"/>
    <w:p w:rsidR="002F34E4" w:rsidRPr="00DD6C91" w:rsidRDefault="002F34E4" w:rsidP="00DD6C91">
      <w:pPr>
        <w:rPr>
          <w:szCs w:val="24"/>
        </w:rPr>
      </w:pPr>
    </w:p>
    <w:sectPr w:rsidR="002F34E4" w:rsidRPr="00DD6C91" w:rsidSect="000B67AA">
      <w:headerReference w:type="default" r:id="rId12"/>
      <w:footerReference w:type="default" r:id="rId13"/>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4E" w:rsidRDefault="00327B4E" w:rsidP="00730B0A">
      <w:pPr>
        <w:spacing w:after="0" w:line="240" w:lineRule="auto"/>
      </w:pPr>
      <w:r>
        <w:separator/>
      </w:r>
    </w:p>
  </w:endnote>
  <w:endnote w:type="continuationSeparator" w:id="1">
    <w:p w:rsidR="00327B4E" w:rsidRDefault="00327B4E"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473BA0">
      <w:rPr>
        <w:lang w:eastAsia="zh-TW"/>
      </w:rPr>
      <w:fldChar w:fldCharType="begin"/>
    </w:r>
    <w:r>
      <w:rPr>
        <w:lang w:eastAsia="zh-TW"/>
      </w:rPr>
      <w:instrText xml:space="preserve"> PAGE   \* MERGEFORMAT </w:instrText>
    </w:r>
    <w:r w:rsidR="00473BA0">
      <w:rPr>
        <w:lang w:eastAsia="zh-TW"/>
      </w:rPr>
      <w:fldChar w:fldCharType="separate"/>
    </w:r>
    <w:r w:rsidR="00DD6C91" w:rsidRPr="00DD6C91">
      <w:rPr>
        <w:rFonts w:asciiTheme="majorHAnsi" w:hAnsiTheme="majorHAnsi" w:cstheme="majorHAnsi"/>
        <w:noProof/>
        <w:lang w:val="zh-TW" w:eastAsia="zh-TW"/>
      </w:rPr>
      <w:t>5</w:t>
    </w:r>
    <w:r w:rsidR="00473BA0">
      <w:rPr>
        <w:lang w:eastAsia="zh-TW"/>
      </w:rPr>
      <w:fldChar w:fldCharType="end"/>
    </w:r>
    <w:r w:rsidR="00473BA0">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473BA0">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473BA0">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4E" w:rsidRDefault="00327B4E" w:rsidP="00730B0A">
      <w:pPr>
        <w:spacing w:after="0" w:line="240" w:lineRule="auto"/>
      </w:pPr>
      <w:r>
        <w:separator/>
      </w:r>
    </w:p>
  </w:footnote>
  <w:footnote w:type="continuationSeparator" w:id="1">
    <w:p w:rsidR="00327B4E" w:rsidRDefault="00327B4E"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473BA0" w:rsidP="000B67AA">
    <w:pPr>
      <w:pStyle w:val="ae"/>
      <w:ind w:firstLineChars="300" w:firstLine="600"/>
      <w:rPr>
        <w:rFonts w:ascii="標楷體" w:eastAsia="標楷體" w:hAnsi="標楷體"/>
        <w:sz w:val="28"/>
        <w:szCs w:val="28"/>
        <w:lang w:eastAsia="zh-TW"/>
      </w:rPr>
    </w:pPr>
    <w:r w:rsidRPr="00473BA0">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473BA0">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473BA0">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C83"/>
    <w:multiLevelType w:val="hybridMultilevel"/>
    <w:tmpl w:val="AA5C1B36"/>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D08259C"/>
    <w:multiLevelType w:val="multilevel"/>
    <w:tmpl w:val="04267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2770"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31953"/>
    <w:rsid w:val="001351D3"/>
    <w:rsid w:val="00135FFF"/>
    <w:rsid w:val="00163550"/>
    <w:rsid w:val="0019396F"/>
    <w:rsid w:val="001963D5"/>
    <w:rsid w:val="001A66B8"/>
    <w:rsid w:val="001B750B"/>
    <w:rsid w:val="0023646D"/>
    <w:rsid w:val="002701E1"/>
    <w:rsid w:val="00272A65"/>
    <w:rsid w:val="002954F0"/>
    <w:rsid w:val="002D4F4F"/>
    <w:rsid w:val="002D7542"/>
    <w:rsid w:val="002F34E4"/>
    <w:rsid w:val="002F7CB9"/>
    <w:rsid w:val="00326DDB"/>
    <w:rsid w:val="00327B4E"/>
    <w:rsid w:val="00330B38"/>
    <w:rsid w:val="0036231A"/>
    <w:rsid w:val="003953FC"/>
    <w:rsid w:val="003B1FB7"/>
    <w:rsid w:val="00413539"/>
    <w:rsid w:val="00437D38"/>
    <w:rsid w:val="00451DB2"/>
    <w:rsid w:val="00473BA0"/>
    <w:rsid w:val="004C10B6"/>
    <w:rsid w:val="005059AF"/>
    <w:rsid w:val="0054236A"/>
    <w:rsid w:val="00550ECB"/>
    <w:rsid w:val="00575631"/>
    <w:rsid w:val="005D15C6"/>
    <w:rsid w:val="005D619D"/>
    <w:rsid w:val="005E5529"/>
    <w:rsid w:val="00613C1F"/>
    <w:rsid w:val="0061756F"/>
    <w:rsid w:val="00623BB6"/>
    <w:rsid w:val="00632A55"/>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E1A2F"/>
    <w:rsid w:val="009220E5"/>
    <w:rsid w:val="009260AC"/>
    <w:rsid w:val="00956FC0"/>
    <w:rsid w:val="009745B8"/>
    <w:rsid w:val="009A3490"/>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16B36"/>
    <w:rsid w:val="00B657BC"/>
    <w:rsid w:val="00B93FE7"/>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D6C91"/>
    <w:rsid w:val="00DF0B53"/>
    <w:rsid w:val="00E04334"/>
    <w:rsid w:val="00E16D28"/>
    <w:rsid w:val="00E209BD"/>
    <w:rsid w:val="00E5770D"/>
    <w:rsid w:val="00E7106B"/>
    <w:rsid w:val="00E738A8"/>
    <w:rsid w:val="00EA6D04"/>
    <w:rsid w:val="00EB0ECF"/>
    <w:rsid w:val="00EC36D1"/>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uiPriority w:val="9"/>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semiHidden/>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iPriority w:val="99"/>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uiPriority w:val="10"/>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uiPriority w:val="22"/>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uiPriority w:val="59"/>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iPriority w:val="99"/>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614</Words>
  <Characters>3502</Characters>
  <Application>Microsoft Office Word</Application>
  <DocSecurity>0</DocSecurity>
  <Lines>29</Lines>
  <Paragraphs>8</Paragraphs>
  <ScaleCrop>false</ScaleCrop>
  <Company>坤展國際安全驗證有限公司  K. J. Certification Co. Ltd.</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林建廷</cp:lastModifiedBy>
  <cp:revision>2</cp:revision>
  <cp:lastPrinted>2013-07-12T15:34:00Z</cp:lastPrinted>
  <dcterms:created xsi:type="dcterms:W3CDTF">2013-09-03T08:25:00Z</dcterms:created>
  <dcterms:modified xsi:type="dcterms:W3CDTF">2013-09-03T08:25:00Z</dcterms:modified>
</cp:coreProperties>
</file>